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E938E" w14:textId="77777777" w:rsidR="005A6956" w:rsidRPr="00557FF2" w:rsidRDefault="005A6956" w:rsidP="00557FF2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center"/>
        <w:rPr>
          <w:b/>
          <w:spacing w:val="-3"/>
        </w:rPr>
      </w:pPr>
      <w:r w:rsidRPr="00557FF2">
        <w:rPr>
          <w:b/>
          <w:noProof/>
          <w:spacing w:val="-3"/>
        </w:rPr>
        <w:drawing>
          <wp:inline distT="0" distB="0" distL="0" distR="0" wp14:anchorId="0BD97CB5" wp14:editId="3191E467">
            <wp:extent cx="1329690" cy="498384"/>
            <wp:effectExtent l="19050" t="0" r="3810" b="0"/>
            <wp:docPr id="2" name="Picture 1" descr="H:\General-Miscellaneous Info\NavigantLogo_FullColor_No_Tag_TM_CMYK copy smaller ver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eneral-Miscellaneous Info\NavigantLogo_FullColor_No_Tag_TM_CMYK copy smaller veris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311" cy="500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7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2520"/>
        <w:gridCol w:w="3600"/>
      </w:tblGrid>
      <w:tr w:rsidR="005A6956" w:rsidRPr="00504542" w14:paraId="1F9426F8" w14:textId="77777777" w:rsidTr="00504542">
        <w:trPr>
          <w:trHeight w:hRule="exact" w:val="465"/>
        </w:trPr>
        <w:tc>
          <w:tcPr>
            <w:tcW w:w="657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14:paraId="21FF81E9" w14:textId="5193446E" w:rsidR="005A6956" w:rsidRPr="00504542" w:rsidRDefault="00242FBC" w:rsidP="00557FF2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jc w:val="both"/>
              <w:rPr>
                <w:b/>
                <w:smallCaps/>
                <w:spacing w:val="-1"/>
                <w:sz w:val="22"/>
                <w:szCs w:val="22"/>
              </w:rPr>
            </w:pPr>
            <w:r w:rsidRPr="00504542">
              <w:rPr>
                <w:b/>
                <w:smallCaps/>
                <w:spacing w:val="-3"/>
                <w:sz w:val="22"/>
                <w:szCs w:val="22"/>
              </w:rPr>
              <w:fldChar w:fldCharType="begin"/>
            </w:r>
            <w:r w:rsidR="005A6956" w:rsidRPr="00504542">
              <w:rPr>
                <w:b/>
                <w:smallCaps/>
                <w:spacing w:val="-3"/>
                <w:sz w:val="22"/>
                <w:szCs w:val="22"/>
              </w:rPr>
              <w:instrText xml:space="preserve">PRIVATE </w:instrText>
            </w:r>
            <w:r w:rsidRPr="00504542">
              <w:rPr>
                <w:b/>
                <w:smallCaps/>
                <w:spacing w:val="-3"/>
                <w:sz w:val="22"/>
                <w:szCs w:val="22"/>
              </w:rPr>
              <w:fldChar w:fldCharType="end"/>
            </w:r>
            <w:r w:rsidR="00504542" w:rsidRPr="00504542">
              <w:rPr>
                <w:b/>
                <w:smallCaps/>
                <w:spacing w:val="-3"/>
                <w:sz w:val="22"/>
                <w:szCs w:val="22"/>
              </w:rPr>
              <w:t>POSITION TITLE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62277A85" w14:textId="77777777" w:rsidR="005A6956" w:rsidRPr="00504542" w:rsidRDefault="005A6956" w:rsidP="00557FF2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jc w:val="both"/>
              <w:rPr>
                <w:b/>
                <w:smallCaps/>
                <w:spacing w:val="-1"/>
                <w:sz w:val="22"/>
                <w:szCs w:val="22"/>
              </w:rPr>
            </w:pPr>
            <w:r w:rsidRPr="00504542">
              <w:rPr>
                <w:b/>
                <w:smallCaps/>
                <w:spacing w:val="-1"/>
                <w:sz w:val="22"/>
                <w:szCs w:val="22"/>
              </w:rPr>
              <w:t>DIVISION</w:t>
            </w:r>
          </w:p>
        </w:tc>
      </w:tr>
      <w:tr w:rsidR="005A6956" w:rsidRPr="00504542" w14:paraId="05339D88" w14:textId="77777777" w:rsidTr="003D1470">
        <w:trPr>
          <w:trHeight w:hRule="exact" w:val="432"/>
        </w:trPr>
        <w:tc>
          <w:tcPr>
            <w:tcW w:w="65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11A7CC17" w14:textId="0EF53990" w:rsidR="00557FF2" w:rsidRPr="00504542" w:rsidRDefault="00CB31C9" w:rsidP="00557FF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504542">
              <w:rPr>
                <w:bCs/>
                <w:sz w:val="22"/>
                <w:szCs w:val="22"/>
              </w:rPr>
              <w:t xml:space="preserve">Equity </w:t>
            </w:r>
            <w:r w:rsidR="00557FF2" w:rsidRPr="00504542">
              <w:rPr>
                <w:bCs/>
                <w:sz w:val="22"/>
                <w:szCs w:val="22"/>
              </w:rPr>
              <w:t>Lending</w:t>
            </w:r>
            <w:r w:rsidR="00C377DB" w:rsidRPr="00504542">
              <w:rPr>
                <w:bCs/>
                <w:sz w:val="22"/>
                <w:szCs w:val="22"/>
              </w:rPr>
              <w:t xml:space="preserve"> </w:t>
            </w:r>
            <w:r w:rsidR="00823A66" w:rsidRPr="00504542">
              <w:rPr>
                <w:bCs/>
                <w:sz w:val="22"/>
                <w:szCs w:val="22"/>
              </w:rPr>
              <w:t>Underwriter</w:t>
            </w:r>
          </w:p>
          <w:p w14:paraId="6D4D5995" w14:textId="77777777" w:rsidR="005A6956" w:rsidRPr="00504542" w:rsidRDefault="005A6956" w:rsidP="00557FF2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72910E" w14:textId="76577B1C" w:rsidR="005A6956" w:rsidRPr="00504542" w:rsidRDefault="00557FF2" w:rsidP="00557FF2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jc w:val="both"/>
              <w:rPr>
                <w:spacing w:val="-4"/>
                <w:sz w:val="22"/>
                <w:szCs w:val="22"/>
              </w:rPr>
            </w:pPr>
            <w:r w:rsidRPr="00504542">
              <w:rPr>
                <w:spacing w:val="-4"/>
                <w:sz w:val="22"/>
                <w:szCs w:val="22"/>
              </w:rPr>
              <w:t>Lending</w:t>
            </w:r>
          </w:p>
        </w:tc>
      </w:tr>
      <w:tr w:rsidR="005A6956" w:rsidRPr="00504542" w14:paraId="7CD74E60" w14:textId="77777777" w:rsidTr="00504542">
        <w:trPr>
          <w:trHeight w:hRule="exact" w:val="465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14:paraId="282F1CE9" w14:textId="77777777" w:rsidR="005A6956" w:rsidRPr="00504542" w:rsidRDefault="005A6956" w:rsidP="00557FF2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jc w:val="both"/>
              <w:rPr>
                <w:b/>
                <w:smallCaps/>
                <w:spacing w:val="-3"/>
                <w:sz w:val="22"/>
                <w:szCs w:val="22"/>
              </w:rPr>
            </w:pPr>
            <w:r w:rsidRPr="00504542">
              <w:rPr>
                <w:b/>
                <w:smallCaps/>
                <w:spacing w:val="-3"/>
                <w:sz w:val="22"/>
                <w:szCs w:val="22"/>
              </w:rPr>
              <w:t>Reports To: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14:paraId="3274DA75" w14:textId="77777777" w:rsidR="005A6956" w:rsidRPr="00504542" w:rsidRDefault="005A6956" w:rsidP="00557FF2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jc w:val="both"/>
              <w:rPr>
                <w:b/>
                <w:spacing w:val="-1"/>
                <w:sz w:val="22"/>
                <w:szCs w:val="22"/>
              </w:rPr>
            </w:pPr>
            <w:r w:rsidRPr="00504542">
              <w:rPr>
                <w:b/>
                <w:spacing w:val="-1"/>
                <w:sz w:val="22"/>
                <w:szCs w:val="22"/>
              </w:rPr>
              <w:t>DEPARTMENT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47ED7CBE" w14:textId="77777777" w:rsidR="005A6956" w:rsidRPr="00504542" w:rsidRDefault="005A6956" w:rsidP="00557FF2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jc w:val="both"/>
              <w:rPr>
                <w:b/>
                <w:smallCaps/>
                <w:spacing w:val="-1"/>
                <w:sz w:val="22"/>
                <w:szCs w:val="22"/>
              </w:rPr>
            </w:pPr>
            <w:r w:rsidRPr="00504542">
              <w:rPr>
                <w:b/>
                <w:smallCaps/>
                <w:spacing w:val="-1"/>
                <w:sz w:val="22"/>
                <w:szCs w:val="22"/>
              </w:rPr>
              <w:t>Date</w:t>
            </w:r>
          </w:p>
        </w:tc>
      </w:tr>
      <w:tr w:rsidR="005A6956" w:rsidRPr="00504542" w14:paraId="5FCA4A98" w14:textId="77777777" w:rsidTr="003D1470">
        <w:trPr>
          <w:trHeight w:hRule="exact" w:val="432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</w:tcBorders>
          </w:tcPr>
          <w:p w14:paraId="6AE6B268" w14:textId="781E4D6B" w:rsidR="005A6956" w:rsidRPr="00504542" w:rsidRDefault="00557FF2" w:rsidP="00823A66">
            <w:pPr>
              <w:pStyle w:val="Heading1"/>
              <w:jc w:val="both"/>
              <w:rPr>
                <w:b w:val="0"/>
                <w:sz w:val="22"/>
                <w:szCs w:val="22"/>
              </w:rPr>
            </w:pPr>
            <w:r w:rsidRPr="00504542">
              <w:rPr>
                <w:b w:val="0"/>
                <w:sz w:val="22"/>
                <w:szCs w:val="22"/>
              </w:rPr>
              <w:t>VP</w:t>
            </w:r>
            <w:r w:rsidR="00823A66" w:rsidRPr="00504542">
              <w:rPr>
                <w:b w:val="0"/>
                <w:sz w:val="22"/>
                <w:szCs w:val="22"/>
              </w:rPr>
              <w:t xml:space="preserve"> </w:t>
            </w:r>
            <w:r w:rsidR="000F26EF" w:rsidRPr="00504542">
              <w:rPr>
                <w:b w:val="0"/>
                <w:sz w:val="22"/>
                <w:szCs w:val="22"/>
              </w:rPr>
              <w:t>–</w:t>
            </w:r>
            <w:r w:rsidR="00823A66" w:rsidRPr="00504542">
              <w:rPr>
                <w:b w:val="0"/>
                <w:sz w:val="22"/>
                <w:szCs w:val="22"/>
              </w:rPr>
              <w:t xml:space="preserve"> </w:t>
            </w:r>
            <w:r w:rsidR="00CB31C9" w:rsidRPr="00504542">
              <w:rPr>
                <w:b w:val="0"/>
                <w:sz w:val="22"/>
                <w:szCs w:val="22"/>
              </w:rPr>
              <w:t>Consumer Lending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</w:tcPr>
          <w:p w14:paraId="2F573199" w14:textId="69C92C31" w:rsidR="005A6956" w:rsidRPr="00504542" w:rsidRDefault="00F44C11" w:rsidP="00557FF2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jc w:val="both"/>
              <w:rPr>
                <w:spacing w:val="-3"/>
                <w:sz w:val="22"/>
                <w:szCs w:val="22"/>
              </w:rPr>
            </w:pPr>
            <w:r w:rsidRPr="00504542">
              <w:rPr>
                <w:spacing w:val="-3"/>
                <w:sz w:val="22"/>
                <w:szCs w:val="22"/>
              </w:rPr>
              <w:t>Consumer Lending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169120" w14:textId="3B964457" w:rsidR="005A6956" w:rsidRPr="00504542" w:rsidRDefault="00F44C11" w:rsidP="00557FF2">
            <w:pPr>
              <w:pStyle w:val="Header"/>
              <w:tabs>
                <w:tab w:val="clear" w:pos="8640"/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jc w:val="both"/>
              <w:rPr>
                <w:spacing w:val="-3"/>
                <w:sz w:val="22"/>
                <w:szCs w:val="22"/>
              </w:rPr>
            </w:pPr>
            <w:r w:rsidRPr="00504542">
              <w:rPr>
                <w:spacing w:val="-3"/>
                <w:sz w:val="22"/>
                <w:szCs w:val="22"/>
              </w:rPr>
              <w:t>7/27/2020</w:t>
            </w:r>
          </w:p>
        </w:tc>
      </w:tr>
      <w:tr w:rsidR="005A6956" w:rsidRPr="00504542" w14:paraId="36172D1B" w14:textId="77777777" w:rsidTr="00504542">
        <w:trPr>
          <w:trHeight w:hRule="exact" w:val="474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6E9C9E7B" w14:textId="77777777" w:rsidR="005A6956" w:rsidRPr="00504542" w:rsidRDefault="005A6956" w:rsidP="00557FF2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jc w:val="both"/>
              <w:rPr>
                <w:b/>
                <w:smallCaps/>
                <w:spacing w:val="-1"/>
                <w:sz w:val="22"/>
                <w:szCs w:val="22"/>
              </w:rPr>
            </w:pPr>
            <w:r w:rsidRPr="00504542">
              <w:rPr>
                <w:b/>
                <w:smallCaps/>
                <w:spacing w:val="-1"/>
                <w:sz w:val="22"/>
                <w:szCs w:val="22"/>
              </w:rPr>
              <w:t>Supervises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0978B8CB" w14:textId="77777777" w:rsidR="005A6956" w:rsidRPr="00504542" w:rsidRDefault="005A6956" w:rsidP="00557FF2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jc w:val="both"/>
              <w:rPr>
                <w:b/>
                <w:smallCaps/>
                <w:spacing w:val="-1"/>
                <w:sz w:val="22"/>
                <w:szCs w:val="22"/>
              </w:rPr>
            </w:pPr>
            <w:r w:rsidRPr="00504542">
              <w:rPr>
                <w:b/>
                <w:smallCaps/>
                <w:spacing w:val="-1"/>
                <w:sz w:val="22"/>
                <w:szCs w:val="22"/>
              </w:rPr>
              <w:t>FLSA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755EAA1" w14:textId="77777777" w:rsidR="005A6956" w:rsidRPr="00504542" w:rsidRDefault="005A6956" w:rsidP="00557FF2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jc w:val="both"/>
              <w:rPr>
                <w:b/>
                <w:smallCaps/>
                <w:spacing w:val="-1"/>
                <w:sz w:val="22"/>
                <w:szCs w:val="22"/>
              </w:rPr>
            </w:pPr>
            <w:r w:rsidRPr="00504542">
              <w:rPr>
                <w:b/>
                <w:smallCaps/>
                <w:spacing w:val="-1"/>
                <w:sz w:val="22"/>
                <w:szCs w:val="22"/>
              </w:rPr>
              <w:t>Revised</w:t>
            </w:r>
          </w:p>
        </w:tc>
      </w:tr>
      <w:tr w:rsidR="005A6956" w:rsidRPr="00504542" w14:paraId="7EBA68E5" w14:textId="77777777" w:rsidTr="003D1470">
        <w:trPr>
          <w:trHeight w:hRule="exact" w:val="432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22A4026" w14:textId="77777777" w:rsidR="005A6956" w:rsidRPr="00504542" w:rsidRDefault="00557FF2" w:rsidP="00557FF2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jc w:val="both"/>
              <w:rPr>
                <w:spacing w:val="-3"/>
                <w:sz w:val="22"/>
                <w:szCs w:val="22"/>
              </w:rPr>
            </w:pPr>
            <w:r w:rsidRPr="00504542">
              <w:rPr>
                <w:spacing w:val="-3"/>
                <w:sz w:val="22"/>
                <w:szCs w:val="22"/>
              </w:rPr>
              <w:t>N/A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9EBB565" w14:textId="77777777" w:rsidR="005A6956" w:rsidRPr="00504542" w:rsidRDefault="00557FF2" w:rsidP="00557FF2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jc w:val="both"/>
              <w:rPr>
                <w:spacing w:val="-3"/>
                <w:sz w:val="22"/>
                <w:szCs w:val="22"/>
              </w:rPr>
            </w:pPr>
            <w:r w:rsidRPr="00504542">
              <w:rPr>
                <w:bCs/>
                <w:sz w:val="22"/>
                <w:szCs w:val="22"/>
              </w:rPr>
              <w:t>Non-Exempt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9A9107" w14:textId="77777777" w:rsidR="005A6956" w:rsidRPr="00504542" w:rsidRDefault="005A6956" w:rsidP="00557FF2">
            <w:pPr>
              <w:pStyle w:val="Header"/>
              <w:tabs>
                <w:tab w:val="clear" w:pos="8640"/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jc w:val="both"/>
              <w:rPr>
                <w:spacing w:val="-3"/>
                <w:sz w:val="22"/>
                <w:szCs w:val="22"/>
              </w:rPr>
            </w:pPr>
          </w:p>
        </w:tc>
      </w:tr>
    </w:tbl>
    <w:p w14:paraId="5057119A" w14:textId="77777777" w:rsidR="005A6956" w:rsidRPr="00504542" w:rsidRDefault="005A6956" w:rsidP="00557FF2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</w:p>
    <w:p w14:paraId="374B2DD1" w14:textId="77777777" w:rsidR="00557FF2" w:rsidRPr="00504542" w:rsidRDefault="00557FF2" w:rsidP="00557FF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04542">
        <w:rPr>
          <w:b/>
          <w:bCs/>
          <w:sz w:val="22"/>
          <w:szCs w:val="22"/>
        </w:rPr>
        <w:t>GENERAL SUMMARY</w:t>
      </w:r>
    </w:p>
    <w:p w14:paraId="5A2981D7" w14:textId="545E209D" w:rsidR="00557FF2" w:rsidRPr="00504542" w:rsidRDefault="00557FF2" w:rsidP="00557FF2">
      <w:pPr>
        <w:pStyle w:val="NormalWeb"/>
        <w:shd w:val="clear" w:color="auto" w:fill="FFFFFF"/>
        <w:spacing w:line="210" w:lineRule="atLeast"/>
        <w:jc w:val="both"/>
        <w:rPr>
          <w:sz w:val="22"/>
          <w:szCs w:val="22"/>
        </w:rPr>
      </w:pPr>
      <w:r w:rsidRPr="00504542">
        <w:rPr>
          <w:sz w:val="22"/>
          <w:szCs w:val="22"/>
        </w:rPr>
        <w:t xml:space="preserve">Under general supervision, but following established policies and procedures, performs a broad range of </w:t>
      </w:r>
      <w:r w:rsidR="00F44C11" w:rsidRPr="00504542">
        <w:rPr>
          <w:sz w:val="22"/>
          <w:szCs w:val="22"/>
        </w:rPr>
        <w:t>equity</w:t>
      </w:r>
      <w:r w:rsidR="00A20E32" w:rsidRPr="00504542">
        <w:rPr>
          <w:sz w:val="22"/>
          <w:szCs w:val="22"/>
        </w:rPr>
        <w:t xml:space="preserve"> </w:t>
      </w:r>
      <w:r w:rsidRPr="00504542">
        <w:rPr>
          <w:sz w:val="22"/>
          <w:szCs w:val="22"/>
        </w:rPr>
        <w:t>lending functions</w:t>
      </w:r>
      <w:r w:rsidR="00823A66" w:rsidRPr="00504542">
        <w:rPr>
          <w:sz w:val="22"/>
          <w:szCs w:val="22"/>
        </w:rPr>
        <w:t>, primarily related to underwriting</w:t>
      </w:r>
      <w:r w:rsidR="00A20E32" w:rsidRPr="00504542">
        <w:rPr>
          <w:sz w:val="22"/>
          <w:szCs w:val="22"/>
        </w:rPr>
        <w:t xml:space="preserve"> of a variety of loan products</w:t>
      </w:r>
      <w:r w:rsidRPr="00504542">
        <w:rPr>
          <w:sz w:val="22"/>
          <w:szCs w:val="22"/>
        </w:rPr>
        <w:t>. The position</w:t>
      </w:r>
      <w:r w:rsidR="00C377DB" w:rsidRPr="00504542">
        <w:rPr>
          <w:sz w:val="22"/>
          <w:szCs w:val="22"/>
        </w:rPr>
        <w:t xml:space="preserve"> </w:t>
      </w:r>
      <w:r w:rsidRPr="00504542">
        <w:rPr>
          <w:sz w:val="22"/>
          <w:szCs w:val="22"/>
        </w:rPr>
        <w:t>requires credit review, evaluation of loan applications, and verification and quality control of loan packages to ensure alignment with credit union policy and guidelines. Responds to questions and/or provides information upon request from members (internal and external).  Processes requests/transactions as appropriate. Assists members and potential members in understanding and utilizing the Credit Union's products and services.</w:t>
      </w:r>
    </w:p>
    <w:p w14:paraId="056709EC" w14:textId="77777777" w:rsidR="00A20E32" w:rsidRPr="00504542" w:rsidRDefault="00557FF2" w:rsidP="00557FF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bookmarkStart w:id="0" w:name="_Hlk525637454"/>
      <w:r w:rsidRPr="00504542">
        <w:rPr>
          <w:b/>
          <w:bCs/>
          <w:sz w:val="22"/>
          <w:szCs w:val="22"/>
        </w:rPr>
        <w:t>MAJOR RESPONSIBILITIES (</w:t>
      </w:r>
      <w:r w:rsidRPr="00504542">
        <w:rPr>
          <w:i/>
          <w:iCs/>
          <w:sz w:val="22"/>
          <w:szCs w:val="22"/>
        </w:rPr>
        <w:t>in descending order of importance</w:t>
      </w:r>
      <w:r w:rsidRPr="00504542">
        <w:rPr>
          <w:b/>
          <w:bCs/>
          <w:sz w:val="22"/>
          <w:szCs w:val="22"/>
        </w:rPr>
        <w:t>)</w:t>
      </w:r>
    </w:p>
    <w:p w14:paraId="5CF45D07" w14:textId="77777777" w:rsidR="00A20E32" w:rsidRPr="00504542" w:rsidRDefault="00A20E32" w:rsidP="00557FF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5A1BB86" w14:textId="1EB04B92" w:rsidR="00A20E32" w:rsidRPr="00504542" w:rsidRDefault="00DC46E7" w:rsidP="00A20E3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504542">
        <w:rPr>
          <w:sz w:val="22"/>
          <w:szCs w:val="22"/>
        </w:rPr>
        <w:t>R</w:t>
      </w:r>
      <w:r w:rsidR="00A20E32" w:rsidRPr="00504542">
        <w:rPr>
          <w:sz w:val="22"/>
          <w:szCs w:val="22"/>
        </w:rPr>
        <w:t>eview</w:t>
      </w:r>
      <w:r w:rsidRPr="00504542">
        <w:rPr>
          <w:sz w:val="22"/>
          <w:szCs w:val="22"/>
        </w:rPr>
        <w:t>s</w:t>
      </w:r>
      <w:r w:rsidR="00A20E32" w:rsidRPr="00504542">
        <w:rPr>
          <w:sz w:val="22"/>
          <w:szCs w:val="22"/>
        </w:rPr>
        <w:t>, analyz</w:t>
      </w:r>
      <w:r w:rsidRPr="00504542">
        <w:rPr>
          <w:sz w:val="22"/>
          <w:szCs w:val="22"/>
        </w:rPr>
        <w:t>es</w:t>
      </w:r>
      <w:r w:rsidR="00A20E32" w:rsidRPr="00504542">
        <w:rPr>
          <w:sz w:val="22"/>
          <w:szCs w:val="22"/>
        </w:rPr>
        <w:t>, underwrit</w:t>
      </w:r>
      <w:r w:rsidR="00FD3AD4" w:rsidRPr="00504542">
        <w:rPr>
          <w:sz w:val="22"/>
          <w:szCs w:val="22"/>
        </w:rPr>
        <w:t>es</w:t>
      </w:r>
      <w:r w:rsidR="00A20E32" w:rsidRPr="00504542">
        <w:rPr>
          <w:sz w:val="22"/>
          <w:szCs w:val="22"/>
        </w:rPr>
        <w:t>, and mak</w:t>
      </w:r>
      <w:r w:rsidR="00FD3AD4" w:rsidRPr="00504542">
        <w:rPr>
          <w:sz w:val="22"/>
          <w:szCs w:val="22"/>
        </w:rPr>
        <w:t>es</w:t>
      </w:r>
      <w:r w:rsidR="00A20E32" w:rsidRPr="00504542">
        <w:rPr>
          <w:sz w:val="22"/>
          <w:szCs w:val="22"/>
        </w:rPr>
        <w:t xml:space="preserve"> prudent decisions on </w:t>
      </w:r>
      <w:r w:rsidR="00CB31C9" w:rsidRPr="00504542">
        <w:rPr>
          <w:sz w:val="22"/>
          <w:szCs w:val="22"/>
        </w:rPr>
        <w:t>consumer lending applications</w:t>
      </w:r>
      <w:r w:rsidR="00A20E32" w:rsidRPr="00504542">
        <w:rPr>
          <w:sz w:val="22"/>
          <w:szCs w:val="22"/>
        </w:rPr>
        <w:t xml:space="preserve"> that </w:t>
      </w:r>
      <w:proofErr w:type="gramStart"/>
      <w:r w:rsidR="00A20E32" w:rsidRPr="00504542">
        <w:rPr>
          <w:sz w:val="22"/>
          <w:szCs w:val="22"/>
        </w:rPr>
        <w:t>are in compliance with</w:t>
      </w:r>
      <w:proofErr w:type="gramEnd"/>
      <w:r w:rsidR="00A20E32" w:rsidRPr="00504542">
        <w:rPr>
          <w:sz w:val="22"/>
          <w:szCs w:val="22"/>
        </w:rPr>
        <w:t xml:space="preserve"> applicable federal and/or state laws, regulations </w:t>
      </w:r>
      <w:r w:rsidR="00CB31C9" w:rsidRPr="00504542">
        <w:rPr>
          <w:sz w:val="22"/>
          <w:szCs w:val="22"/>
        </w:rPr>
        <w:t xml:space="preserve">(TRID and HMDA) </w:t>
      </w:r>
      <w:r w:rsidR="00A20E32" w:rsidRPr="00504542">
        <w:rPr>
          <w:sz w:val="22"/>
          <w:szCs w:val="22"/>
        </w:rPr>
        <w:t>and/or Credit Union rules, standards and guidelines.</w:t>
      </w:r>
    </w:p>
    <w:p w14:paraId="48A3BF53" w14:textId="0180FAFD" w:rsidR="00A20E32" w:rsidRPr="00504542" w:rsidRDefault="00FD3AD4" w:rsidP="00A20E3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04542">
        <w:rPr>
          <w:sz w:val="22"/>
          <w:szCs w:val="22"/>
        </w:rPr>
        <w:t>M</w:t>
      </w:r>
      <w:r w:rsidR="00A20E32" w:rsidRPr="00504542">
        <w:rPr>
          <w:sz w:val="22"/>
          <w:szCs w:val="22"/>
        </w:rPr>
        <w:t>itigat</w:t>
      </w:r>
      <w:r w:rsidRPr="00504542">
        <w:rPr>
          <w:sz w:val="22"/>
          <w:szCs w:val="22"/>
        </w:rPr>
        <w:t>es</w:t>
      </w:r>
      <w:r w:rsidR="00A20E32" w:rsidRPr="00504542">
        <w:rPr>
          <w:sz w:val="22"/>
          <w:szCs w:val="22"/>
        </w:rPr>
        <w:t xml:space="preserve"> risk through thorough underwriting practices, balancing risk versus reward to assist in building a strong portfolio that meets Credit Union credit quality and performance objectives.</w:t>
      </w:r>
    </w:p>
    <w:p w14:paraId="6DB9CE17" w14:textId="77777777" w:rsidR="00CB31C9" w:rsidRPr="00504542" w:rsidRDefault="00CB31C9" w:rsidP="00CB31C9">
      <w:pPr>
        <w:numPr>
          <w:ilvl w:val="0"/>
          <w:numId w:val="6"/>
        </w:numPr>
        <w:jc w:val="both"/>
        <w:rPr>
          <w:sz w:val="22"/>
          <w:szCs w:val="22"/>
        </w:rPr>
      </w:pPr>
      <w:r w:rsidRPr="00504542">
        <w:rPr>
          <w:sz w:val="22"/>
          <w:szCs w:val="22"/>
        </w:rPr>
        <w:t>Work with Residential Mortgage and Mortgage brokers to accommodate second mortgage requests.</w:t>
      </w:r>
    </w:p>
    <w:p w14:paraId="4C2976A7" w14:textId="6BA13685" w:rsidR="00CB31C9" w:rsidRPr="00504542" w:rsidRDefault="00CB31C9" w:rsidP="00CB31C9">
      <w:pPr>
        <w:numPr>
          <w:ilvl w:val="0"/>
          <w:numId w:val="6"/>
        </w:numPr>
        <w:jc w:val="both"/>
        <w:rPr>
          <w:sz w:val="22"/>
          <w:szCs w:val="22"/>
        </w:rPr>
      </w:pPr>
      <w:r w:rsidRPr="00504542">
        <w:rPr>
          <w:sz w:val="22"/>
          <w:szCs w:val="22"/>
        </w:rPr>
        <w:t xml:space="preserve">Orders and inputs valuations for home appraisal, flood insurance, and title insurance.  Verifies accuracy of inputted information from branches and virtual branch.  </w:t>
      </w:r>
    </w:p>
    <w:p w14:paraId="65ED357B" w14:textId="77777777" w:rsidR="00A20E32" w:rsidRPr="00504542" w:rsidRDefault="00A20E32" w:rsidP="00A20E3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04542">
        <w:rPr>
          <w:sz w:val="22"/>
          <w:szCs w:val="22"/>
        </w:rPr>
        <w:t>Ensures timely turn around on all loan requests in accordance with Credit Union standards and regulatory requirements.</w:t>
      </w:r>
    </w:p>
    <w:p w14:paraId="383E3BFD" w14:textId="77777777" w:rsidR="00A20E32" w:rsidRPr="00504542" w:rsidRDefault="00A20E32" w:rsidP="00A20E32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04542">
        <w:rPr>
          <w:sz w:val="22"/>
          <w:szCs w:val="22"/>
        </w:rPr>
        <w:t xml:space="preserve">Utilizes tact and experienced-based knowledge to research/resolve/respond to member and vendor problems/concerns by explaining specific policies and products. Represents the Credit Union in a professional manner and maintains positive member and vendor relations. Conducts thorough research, determines corrective </w:t>
      </w:r>
      <w:proofErr w:type="gramStart"/>
      <w:r w:rsidRPr="00504542">
        <w:rPr>
          <w:sz w:val="22"/>
          <w:szCs w:val="22"/>
        </w:rPr>
        <w:t>action</w:t>
      </w:r>
      <w:proofErr w:type="gramEnd"/>
      <w:r w:rsidRPr="00504542">
        <w:rPr>
          <w:sz w:val="22"/>
          <w:szCs w:val="22"/>
        </w:rPr>
        <w:t xml:space="preserve"> and processes changes in accordance with established policies and procedures.</w:t>
      </w:r>
    </w:p>
    <w:p w14:paraId="24008C8C" w14:textId="77777777" w:rsidR="00A20E32" w:rsidRPr="00504542" w:rsidRDefault="00A20E32" w:rsidP="00A20E32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04542">
        <w:rPr>
          <w:sz w:val="22"/>
          <w:szCs w:val="22"/>
        </w:rPr>
        <w:t>Communicates effectively with all levels of management and maintains confidentiality of all loan information.</w:t>
      </w:r>
    </w:p>
    <w:p w14:paraId="441C9307" w14:textId="77777777" w:rsidR="00A20E32" w:rsidRPr="00504542" w:rsidRDefault="00FD3AD4" w:rsidP="00A20E32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04542">
        <w:rPr>
          <w:sz w:val="22"/>
          <w:szCs w:val="22"/>
        </w:rPr>
        <w:t>Tests periodically the Credit Union’s</w:t>
      </w:r>
      <w:r w:rsidR="00A20E32" w:rsidRPr="00504542">
        <w:rPr>
          <w:sz w:val="22"/>
          <w:szCs w:val="22"/>
        </w:rPr>
        <w:t xml:space="preserve"> LOS as system upgrades occur</w:t>
      </w:r>
    </w:p>
    <w:p w14:paraId="174147EA" w14:textId="78C52DB2" w:rsidR="00A20E32" w:rsidRPr="00504542" w:rsidRDefault="00A20E32" w:rsidP="00A20E32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04542">
        <w:rPr>
          <w:sz w:val="22"/>
          <w:szCs w:val="22"/>
        </w:rPr>
        <w:t xml:space="preserve">Performs other related duties as assigned by VP of </w:t>
      </w:r>
      <w:r w:rsidR="00CB31C9" w:rsidRPr="00504542">
        <w:rPr>
          <w:sz w:val="22"/>
          <w:szCs w:val="22"/>
        </w:rPr>
        <w:t>Consumer</w:t>
      </w:r>
      <w:r w:rsidRPr="00504542">
        <w:rPr>
          <w:sz w:val="22"/>
          <w:szCs w:val="22"/>
        </w:rPr>
        <w:t xml:space="preserve"> Lending.</w:t>
      </w:r>
    </w:p>
    <w:p w14:paraId="3E70A3B7" w14:textId="77777777" w:rsidR="00A20E32" w:rsidRPr="00504542" w:rsidRDefault="00A20E32" w:rsidP="00557FF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bookmarkEnd w:id="0"/>
    <w:p w14:paraId="3DEB6FB6" w14:textId="77777777" w:rsidR="00557FF2" w:rsidRPr="00504542" w:rsidRDefault="00557FF2" w:rsidP="00557FF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04542">
        <w:rPr>
          <w:b/>
          <w:bCs/>
          <w:sz w:val="22"/>
          <w:szCs w:val="22"/>
        </w:rPr>
        <w:t>QUALIFICATIONS:</w:t>
      </w:r>
    </w:p>
    <w:p w14:paraId="0C297FC6" w14:textId="77777777" w:rsidR="00557FF2" w:rsidRPr="00504542" w:rsidRDefault="00557FF2" w:rsidP="00557FF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F179391" w14:textId="77777777" w:rsidR="00557FF2" w:rsidRPr="00504542" w:rsidRDefault="00557FF2" w:rsidP="00557FF2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504542">
        <w:rPr>
          <w:b/>
          <w:bCs/>
          <w:i/>
          <w:iCs/>
          <w:sz w:val="22"/>
          <w:szCs w:val="22"/>
        </w:rPr>
        <w:t>Education</w:t>
      </w:r>
    </w:p>
    <w:p w14:paraId="3684E3D7" w14:textId="64E85C62" w:rsidR="00557FF2" w:rsidRPr="00504542" w:rsidRDefault="00557FF2" w:rsidP="00557F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4542">
        <w:rPr>
          <w:sz w:val="22"/>
          <w:szCs w:val="22"/>
        </w:rPr>
        <w:t xml:space="preserve">High school diploma or equivalent education (GED) required.  </w:t>
      </w:r>
    </w:p>
    <w:p w14:paraId="412D173C" w14:textId="77777777" w:rsidR="00504542" w:rsidRPr="00504542" w:rsidRDefault="00504542" w:rsidP="00557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25717E" w14:textId="77777777" w:rsidR="00557FF2" w:rsidRPr="00504542" w:rsidRDefault="00557FF2" w:rsidP="00557F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4542">
        <w:rPr>
          <w:b/>
          <w:bCs/>
          <w:i/>
          <w:iCs/>
          <w:sz w:val="22"/>
          <w:szCs w:val="22"/>
        </w:rPr>
        <w:t>Experience</w:t>
      </w:r>
      <w:r w:rsidRPr="00504542">
        <w:rPr>
          <w:sz w:val="22"/>
          <w:szCs w:val="22"/>
        </w:rPr>
        <w:t>/</w:t>
      </w:r>
      <w:r w:rsidRPr="00504542">
        <w:rPr>
          <w:b/>
          <w:bCs/>
          <w:i/>
          <w:iCs/>
          <w:sz w:val="22"/>
          <w:szCs w:val="22"/>
        </w:rPr>
        <w:t>Skills/Knowledge</w:t>
      </w:r>
      <w:r w:rsidRPr="00504542">
        <w:rPr>
          <w:sz w:val="22"/>
          <w:szCs w:val="22"/>
        </w:rPr>
        <w:t>:</w:t>
      </w:r>
    </w:p>
    <w:p w14:paraId="6E7FC610" w14:textId="1B9CA175" w:rsidR="00557FF2" w:rsidRPr="00504542" w:rsidRDefault="00557FF2" w:rsidP="00557F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4542">
        <w:rPr>
          <w:sz w:val="22"/>
          <w:szCs w:val="22"/>
        </w:rPr>
        <w:t xml:space="preserve">1. Demonstrated knowledge of consumer lending policies, procedures, </w:t>
      </w:r>
      <w:proofErr w:type="gramStart"/>
      <w:r w:rsidRPr="00504542">
        <w:rPr>
          <w:sz w:val="22"/>
          <w:szCs w:val="22"/>
        </w:rPr>
        <w:t>laws</w:t>
      </w:r>
      <w:proofErr w:type="gramEnd"/>
      <w:r w:rsidRPr="00504542">
        <w:rPr>
          <w:sz w:val="22"/>
          <w:szCs w:val="22"/>
        </w:rPr>
        <w:t xml:space="preserve"> and regulations. </w:t>
      </w:r>
    </w:p>
    <w:p w14:paraId="36DE451B" w14:textId="7E04DCEE" w:rsidR="00557FF2" w:rsidRPr="00504542" w:rsidRDefault="00557FF2" w:rsidP="00557F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4542">
        <w:rPr>
          <w:sz w:val="22"/>
          <w:szCs w:val="22"/>
        </w:rPr>
        <w:t xml:space="preserve">2. </w:t>
      </w:r>
      <w:r w:rsidRPr="00504542">
        <w:rPr>
          <w:rStyle w:val="Strong"/>
          <w:b w:val="0"/>
          <w:sz w:val="22"/>
          <w:szCs w:val="22"/>
        </w:rPr>
        <w:t xml:space="preserve">Minimum 3 years </w:t>
      </w:r>
      <w:r w:rsidR="00823A66" w:rsidRPr="00504542">
        <w:rPr>
          <w:rStyle w:val="Strong"/>
          <w:b w:val="0"/>
          <w:sz w:val="22"/>
          <w:szCs w:val="22"/>
        </w:rPr>
        <w:t>consumer lending/underwriting experience</w:t>
      </w:r>
      <w:r w:rsidR="00CB31C9" w:rsidRPr="00504542">
        <w:rPr>
          <w:rStyle w:val="Strong"/>
          <w:b w:val="0"/>
          <w:sz w:val="22"/>
          <w:szCs w:val="22"/>
        </w:rPr>
        <w:t>.</w:t>
      </w:r>
    </w:p>
    <w:p w14:paraId="080DE8DD" w14:textId="7CE0F85E" w:rsidR="00557FF2" w:rsidRPr="00504542" w:rsidRDefault="00557FF2" w:rsidP="00557F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4542">
        <w:rPr>
          <w:sz w:val="22"/>
          <w:szCs w:val="22"/>
        </w:rPr>
        <w:t xml:space="preserve">3. Excellent organizational, </w:t>
      </w:r>
      <w:proofErr w:type="gramStart"/>
      <w:r w:rsidRPr="00504542">
        <w:rPr>
          <w:sz w:val="22"/>
          <w:szCs w:val="22"/>
        </w:rPr>
        <w:t>analytical</w:t>
      </w:r>
      <w:proofErr w:type="gramEnd"/>
      <w:r w:rsidRPr="00504542">
        <w:rPr>
          <w:sz w:val="22"/>
          <w:szCs w:val="22"/>
        </w:rPr>
        <w:t xml:space="preserve"> and problem</w:t>
      </w:r>
      <w:r w:rsidR="00F44C11" w:rsidRPr="00504542">
        <w:rPr>
          <w:sz w:val="22"/>
          <w:szCs w:val="22"/>
        </w:rPr>
        <w:t>-</w:t>
      </w:r>
      <w:r w:rsidRPr="00504542">
        <w:rPr>
          <w:sz w:val="22"/>
          <w:szCs w:val="22"/>
        </w:rPr>
        <w:t>solving skills.</w:t>
      </w:r>
    </w:p>
    <w:p w14:paraId="18AB27C6" w14:textId="77777777" w:rsidR="00557FF2" w:rsidRPr="00504542" w:rsidRDefault="00557FF2" w:rsidP="00557F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4542">
        <w:rPr>
          <w:sz w:val="22"/>
          <w:szCs w:val="22"/>
        </w:rPr>
        <w:lastRenderedPageBreak/>
        <w:t>4. Strong PC proficiency, including Microsoft Office (Word, Excel, Outlook) and the Internet.</w:t>
      </w:r>
    </w:p>
    <w:p w14:paraId="1B1D1789" w14:textId="5DA51CAB" w:rsidR="00557FF2" w:rsidRPr="00504542" w:rsidRDefault="00557FF2" w:rsidP="00F44C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4542">
        <w:rPr>
          <w:sz w:val="22"/>
          <w:szCs w:val="22"/>
        </w:rPr>
        <w:t xml:space="preserve">5. Excellent verbal, written, telephone and interpersonal communication skills. </w:t>
      </w:r>
    </w:p>
    <w:p w14:paraId="461CAA53" w14:textId="77777777" w:rsidR="00557FF2" w:rsidRPr="00504542" w:rsidRDefault="00557FF2" w:rsidP="00557F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4542">
        <w:rPr>
          <w:sz w:val="22"/>
          <w:szCs w:val="22"/>
        </w:rPr>
        <w:t>6. Ability to manage multiple projects/priorities simultaneously and produce the desired results.</w:t>
      </w:r>
    </w:p>
    <w:p w14:paraId="54BF1DE6" w14:textId="77777777" w:rsidR="00557FF2" w:rsidRPr="00504542" w:rsidRDefault="00557FF2" w:rsidP="00557F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4542">
        <w:rPr>
          <w:sz w:val="22"/>
          <w:szCs w:val="22"/>
        </w:rPr>
        <w:t>7. Extremely strong attention to detail.</w:t>
      </w:r>
    </w:p>
    <w:p w14:paraId="42EAE209" w14:textId="77777777" w:rsidR="00557FF2" w:rsidRPr="00504542" w:rsidRDefault="00557FF2" w:rsidP="00557F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4542">
        <w:rPr>
          <w:sz w:val="22"/>
          <w:szCs w:val="22"/>
        </w:rPr>
        <w:t>8. Ability to function in a professional office environment and utilize standard office equipment including but</w:t>
      </w:r>
    </w:p>
    <w:p w14:paraId="47EE592C" w14:textId="77777777" w:rsidR="00557FF2" w:rsidRPr="00504542" w:rsidRDefault="00557FF2" w:rsidP="00557F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4542">
        <w:rPr>
          <w:sz w:val="22"/>
          <w:szCs w:val="22"/>
        </w:rPr>
        <w:t xml:space="preserve">not limited </w:t>
      </w:r>
      <w:proofErr w:type="gramStart"/>
      <w:r w:rsidRPr="00504542">
        <w:rPr>
          <w:sz w:val="22"/>
          <w:szCs w:val="22"/>
        </w:rPr>
        <w:t>to:</w:t>
      </w:r>
      <w:proofErr w:type="gramEnd"/>
      <w:r w:rsidRPr="00504542">
        <w:rPr>
          <w:sz w:val="22"/>
          <w:szCs w:val="22"/>
        </w:rPr>
        <w:t xml:space="preserve"> fax, copier, telephone, etc. Ability to lift minimum of 25 pounds.</w:t>
      </w:r>
    </w:p>
    <w:p w14:paraId="02831602" w14:textId="77777777" w:rsidR="00504542" w:rsidRDefault="00504542" w:rsidP="00557FF2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both"/>
        <w:rPr>
          <w:b/>
          <w:bCs/>
          <w:sz w:val="22"/>
          <w:szCs w:val="22"/>
        </w:rPr>
      </w:pPr>
    </w:p>
    <w:p w14:paraId="2D095C42" w14:textId="25A33DB5" w:rsidR="005A6956" w:rsidRPr="00504542" w:rsidRDefault="005A6956" w:rsidP="00557FF2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both"/>
        <w:rPr>
          <w:b/>
          <w:i/>
          <w:spacing w:val="-2"/>
          <w:sz w:val="22"/>
          <w:szCs w:val="22"/>
        </w:rPr>
      </w:pPr>
      <w:r w:rsidRPr="00504542">
        <w:rPr>
          <w:b/>
          <w:spacing w:val="-3"/>
          <w:sz w:val="22"/>
          <w:szCs w:val="22"/>
        </w:rPr>
        <w:t>GENERAL DESCRIPTION:</w:t>
      </w:r>
      <w:r w:rsidRPr="00504542">
        <w:rPr>
          <w:b/>
          <w:i/>
          <w:spacing w:val="-2"/>
          <w:sz w:val="22"/>
          <w:szCs w:val="22"/>
        </w:rPr>
        <w:t xml:space="preserve"> </w:t>
      </w:r>
    </w:p>
    <w:p w14:paraId="5B250DCB" w14:textId="77777777" w:rsidR="005A6956" w:rsidRPr="00504542" w:rsidRDefault="005A6956" w:rsidP="00557FF2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both"/>
        <w:rPr>
          <w:spacing w:val="-3"/>
          <w:sz w:val="22"/>
          <w:szCs w:val="22"/>
        </w:rPr>
      </w:pPr>
      <w:r w:rsidRPr="00504542">
        <w:rPr>
          <w:b/>
          <w:i/>
          <w:spacing w:val="-2"/>
          <w:sz w:val="22"/>
          <w:szCs w:val="22"/>
        </w:rPr>
        <w:tab/>
      </w:r>
      <w:r w:rsidRPr="00504542">
        <w:rPr>
          <w:b/>
          <w:i/>
          <w:spacing w:val="-2"/>
          <w:sz w:val="22"/>
          <w:szCs w:val="22"/>
        </w:rPr>
        <w:tab/>
      </w:r>
      <w:r w:rsidRPr="00504542">
        <w:rPr>
          <w:b/>
          <w:i/>
          <w:spacing w:val="-2"/>
          <w:sz w:val="22"/>
          <w:szCs w:val="22"/>
        </w:rPr>
        <w:tab/>
        <w:t>In terms of physical requirements, this position requires work best described as:</w:t>
      </w:r>
    </w:p>
    <w:p w14:paraId="378EF8F7" w14:textId="77777777" w:rsidR="005A6956" w:rsidRPr="00504542" w:rsidRDefault="005A6956" w:rsidP="00557FF2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  <w:r w:rsidRPr="00504542">
        <w:rPr>
          <w:spacing w:val="-3"/>
          <w:sz w:val="22"/>
          <w:szCs w:val="22"/>
        </w:rPr>
        <w:tab/>
      </w:r>
      <w:r w:rsidRPr="00504542">
        <w:rPr>
          <w:spacing w:val="-3"/>
          <w:sz w:val="22"/>
          <w:szCs w:val="22"/>
        </w:rPr>
        <w:t xml:space="preserve">   Sedentary    </w:t>
      </w:r>
      <w:r w:rsidR="00A20E32" w:rsidRPr="00504542">
        <w:rPr>
          <w:spacing w:val="-3"/>
          <w:sz w:val="22"/>
          <w:szCs w:val="22"/>
        </w:rPr>
        <w:t xml:space="preserve">X </w:t>
      </w:r>
      <w:r w:rsidRPr="00504542">
        <w:rPr>
          <w:spacing w:val="-3"/>
          <w:sz w:val="22"/>
          <w:szCs w:val="22"/>
        </w:rPr>
        <w:t xml:space="preserve">Light    </w:t>
      </w:r>
      <w:r w:rsidRPr="00504542">
        <w:rPr>
          <w:spacing w:val="-3"/>
          <w:sz w:val="22"/>
          <w:szCs w:val="22"/>
        </w:rPr>
        <w:t xml:space="preserve"> Medium        </w:t>
      </w:r>
      <w:r w:rsidRPr="00504542">
        <w:rPr>
          <w:spacing w:val="-3"/>
          <w:sz w:val="22"/>
          <w:szCs w:val="22"/>
        </w:rPr>
        <w:t xml:space="preserve"> Heavy        </w:t>
      </w:r>
      <w:r w:rsidRPr="00504542">
        <w:rPr>
          <w:spacing w:val="-3"/>
          <w:sz w:val="22"/>
          <w:szCs w:val="22"/>
        </w:rPr>
        <w:t> Very Heavy</w:t>
      </w:r>
    </w:p>
    <w:p w14:paraId="02F1FBDE" w14:textId="77777777" w:rsidR="005A6956" w:rsidRPr="00504542" w:rsidRDefault="005A6956" w:rsidP="00557FF2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</w:p>
    <w:p w14:paraId="185828DA" w14:textId="77777777" w:rsidR="005A6956" w:rsidRPr="00504542" w:rsidRDefault="005A6956" w:rsidP="00557FF2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b/>
          <w:i/>
          <w:spacing w:val="-2"/>
          <w:sz w:val="22"/>
          <w:szCs w:val="22"/>
        </w:rPr>
      </w:pPr>
      <w:r w:rsidRPr="00504542">
        <w:rPr>
          <w:b/>
          <w:spacing w:val="-3"/>
          <w:sz w:val="22"/>
          <w:szCs w:val="22"/>
        </w:rPr>
        <w:t>PHYSICAL TASKS:</w:t>
      </w:r>
    </w:p>
    <w:p w14:paraId="0923E554" w14:textId="55DFEF7B" w:rsidR="005A6956" w:rsidRPr="00504542" w:rsidRDefault="005A6956" w:rsidP="00557FF2">
      <w:pPr>
        <w:numPr>
          <w:ilvl w:val="0"/>
          <w:numId w:val="1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  <w:r w:rsidRPr="00504542">
        <w:rPr>
          <w:spacing w:val="-3"/>
          <w:sz w:val="22"/>
          <w:szCs w:val="22"/>
        </w:rPr>
        <w:t xml:space="preserve">Standing/Walking/Bending/Stooping – </w:t>
      </w:r>
      <w:r w:rsidR="00F44C11" w:rsidRPr="00504542">
        <w:rPr>
          <w:spacing w:val="-3"/>
          <w:sz w:val="22"/>
          <w:szCs w:val="22"/>
        </w:rPr>
        <w:t>Occasional</w:t>
      </w:r>
    </w:p>
    <w:p w14:paraId="41217F7D" w14:textId="77777777" w:rsidR="005A6956" w:rsidRPr="00504542" w:rsidRDefault="005A6956" w:rsidP="00557FF2">
      <w:pPr>
        <w:numPr>
          <w:ilvl w:val="0"/>
          <w:numId w:val="1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  <w:r w:rsidRPr="00504542">
        <w:rPr>
          <w:spacing w:val="-3"/>
          <w:sz w:val="22"/>
          <w:szCs w:val="22"/>
        </w:rPr>
        <w:t>Sitting- Continuous</w:t>
      </w:r>
    </w:p>
    <w:p w14:paraId="3D24AC30" w14:textId="77777777" w:rsidR="005A6956" w:rsidRPr="00504542" w:rsidRDefault="005A6956" w:rsidP="00557FF2">
      <w:pPr>
        <w:numPr>
          <w:ilvl w:val="0"/>
          <w:numId w:val="1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  <w:r w:rsidRPr="00504542">
        <w:rPr>
          <w:spacing w:val="-3"/>
          <w:sz w:val="22"/>
          <w:szCs w:val="22"/>
        </w:rPr>
        <w:t>Hearing - Ability to receive information through oral communication (face to face and telephone). - Continuous</w:t>
      </w:r>
    </w:p>
    <w:p w14:paraId="42EE75BE" w14:textId="77777777" w:rsidR="005A6956" w:rsidRPr="00504542" w:rsidRDefault="005A6956" w:rsidP="00557FF2">
      <w:pPr>
        <w:numPr>
          <w:ilvl w:val="0"/>
          <w:numId w:val="1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  <w:r w:rsidRPr="00504542">
        <w:rPr>
          <w:spacing w:val="-3"/>
          <w:sz w:val="22"/>
          <w:szCs w:val="22"/>
        </w:rPr>
        <w:t>Talking - Expressing or exchanging ideas by means of the spoken word (face to face and telephone). – Continuous</w:t>
      </w:r>
    </w:p>
    <w:p w14:paraId="5127DEBA" w14:textId="77777777" w:rsidR="005A6956" w:rsidRPr="00504542" w:rsidRDefault="005A6956" w:rsidP="00557FF2">
      <w:pPr>
        <w:numPr>
          <w:ilvl w:val="0"/>
          <w:numId w:val="1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  <w:r w:rsidRPr="00504542">
        <w:rPr>
          <w:spacing w:val="-3"/>
          <w:sz w:val="22"/>
          <w:szCs w:val="22"/>
        </w:rPr>
        <w:t xml:space="preserve">Reading – Ability to receive information through fax, </w:t>
      </w:r>
      <w:proofErr w:type="gramStart"/>
      <w:r w:rsidRPr="00504542">
        <w:rPr>
          <w:spacing w:val="-3"/>
          <w:sz w:val="22"/>
          <w:szCs w:val="22"/>
        </w:rPr>
        <w:t>e-mail</w:t>
      </w:r>
      <w:proofErr w:type="gramEnd"/>
      <w:r w:rsidRPr="00504542">
        <w:rPr>
          <w:spacing w:val="-3"/>
          <w:sz w:val="22"/>
          <w:szCs w:val="22"/>
        </w:rPr>
        <w:t xml:space="preserve"> and text messages - Continuous</w:t>
      </w:r>
    </w:p>
    <w:p w14:paraId="01986435" w14:textId="77777777" w:rsidR="005A6956" w:rsidRPr="00504542" w:rsidRDefault="005A6956" w:rsidP="00557FF2">
      <w:pPr>
        <w:numPr>
          <w:ilvl w:val="12"/>
          <w:numId w:val="0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ind w:left="360" w:hanging="360"/>
        <w:jc w:val="both"/>
        <w:rPr>
          <w:b/>
          <w:i/>
          <w:spacing w:val="-2"/>
          <w:sz w:val="22"/>
          <w:szCs w:val="22"/>
        </w:rPr>
      </w:pPr>
    </w:p>
    <w:p w14:paraId="4E49088A" w14:textId="77777777" w:rsidR="005A6956" w:rsidRPr="00504542" w:rsidRDefault="005A6956" w:rsidP="00557FF2">
      <w:pPr>
        <w:numPr>
          <w:ilvl w:val="12"/>
          <w:numId w:val="0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ind w:left="360" w:hanging="360"/>
        <w:jc w:val="both"/>
        <w:rPr>
          <w:b/>
          <w:i/>
          <w:spacing w:val="-2"/>
          <w:sz w:val="22"/>
          <w:szCs w:val="22"/>
        </w:rPr>
      </w:pPr>
      <w:r w:rsidRPr="00504542">
        <w:rPr>
          <w:b/>
          <w:spacing w:val="-3"/>
          <w:sz w:val="22"/>
          <w:szCs w:val="22"/>
        </w:rPr>
        <w:t>AUDIO / VISUAL:</w:t>
      </w:r>
    </w:p>
    <w:p w14:paraId="62D97451" w14:textId="77777777" w:rsidR="005A6956" w:rsidRPr="00504542" w:rsidRDefault="005A6956" w:rsidP="00557FF2">
      <w:pPr>
        <w:numPr>
          <w:ilvl w:val="0"/>
          <w:numId w:val="1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  <w:r w:rsidRPr="00504542">
        <w:rPr>
          <w:spacing w:val="-3"/>
          <w:sz w:val="22"/>
          <w:szCs w:val="22"/>
        </w:rPr>
        <w:t>Requires vision to perform work dealing with data and figures and computer screens. -Continuous</w:t>
      </w:r>
    </w:p>
    <w:p w14:paraId="4B503917" w14:textId="77777777" w:rsidR="005A6956" w:rsidRPr="00504542" w:rsidRDefault="005A6956" w:rsidP="00557FF2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b/>
          <w:spacing w:val="-3"/>
          <w:sz w:val="22"/>
          <w:szCs w:val="22"/>
        </w:rPr>
      </w:pPr>
    </w:p>
    <w:p w14:paraId="5FAB163F" w14:textId="77777777" w:rsidR="005A6956" w:rsidRPr="00504542" w:rsidRDefault="005A6956" w:rsidP="00557FF2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b/>
          <w:i/>
          <w:spacing w:val="-2"/>
          <w:sz w:val="22"/>
          <w:szCs w:val="22"/>
        </w:rPr>
      </w:pPr>
      <w:r w:rsidRPr="00504542">
        <w:rPr>
          <w:b/>
          <w:spacing w:val="-3"/>
          <w:sz w:val="22"/>
          <w:szCs w:val="22"/>
        </w:rPr>
        <w:t>PSYCHOLOGICAL/MENTAL DEMANDS:</w:t>
      </w:r>
    </w:p>
    <w:p w14:paraId="4181687F" w14:textId="77777777" w:rsidR="005A6956" w:rsidRPr="00504542" w:rsidRDefault="005A6956" w:rsidP="00557FF2">
      <w:pPr>
        <w:numPr>
          <w:ilvl w:val="0"/>
          <w:numId w:val="1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  <w:r w:rsidRPr="00504542">
        <w:rPr>
          <w:spacing w:val="-3"/>
          <w:sz w:val="22"/>
          <w:szCs w:val="22"/>
        </w:rPr>
        <w:t>Responds positively and productively to stressful internal (employee)/situations. - Continuous</w:t>
      </w:r>
    </w:p>
    <w:p w14:paraId="1C92A269" w14:textId="77777777" w:rsidR="005A6956" w:rsidRPr="00504542" w:rsidRDefault="005A6956" w:rsidP="00557FF2">
      <w:pPr>
        <w:numPr>
          <w:ilvl w:val="0"/>
          <w:numId w:val="1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  <w:r w:rsidRPr="00504542">
        <w:rPr>
          <w:spacing w:val="-3"/>
          <w:sz w:val="22"/>
          <w:szCs w:val="22"/>
        </w:rPr>
        <w:t>Assists others to work harmoniously and effectively as part of a work team. – Continuous</w:t>
      </w:r>
    </w:p>
    <w:p w14:paraId="406D5A8E" w14:textId="77777777" w:rsidR="005A6956" w:rsidRPr="00504542" w:rsidRDefault="005A6956" w:rsidP="00557FF2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</w:p>
    <w:p w14:paraId="3E37CD35" w14:textId="77777777" w:rsidR="005A6956" w:rsidRPr="00504542" w:rsidRDefault="005A6956" w:rsidP="00557FF2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</w:p>
    <w:p w14:paraId="7DC83900" w14:textId="77777777" w:rsidR="005A6956" w:rsidRPr="00504542" w:rsidRDefault="005A6956" w:rsidP="00557FF2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</w:p>
    <w:p w14:paraId="053FB189" w14:textId="77777777" w:rsidR="005A6956" w:rsidRPr="00504542" w:rsidRDefault="005A6956" w:rsidP="00557FF2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</w:p>
    <w:p w14:paraId="778A840C" w14:textId="77777777" w:rsidR="005A6956" w:rsidRPr="00504542" w:rsidRDefault="005A6956" w:rsidP="00557FF2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</w:p>
    <w:p w14:paraId="17F8B1CE" w14:textId="77777777" w:rsidR="005A6956" w:rsidRPr="00504542" w:rsidRDefault="005A6956" w:rsidP="00557FF2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</w:p>
    <w:p w14:paraId="3AC9DF9D" w14:textId="77777777" w:rsidR="005A6956" w:rsidRPr="00504542" w:rsidRDefault="005A6956" w:rsidP="00557FF2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</w:p>
    <w:p w14:paraId="6D945137" w14:textId="77777777" w:rsidR="005A6956" w:rsidRPr="00504542" w:rsidRDefault="005A6956" w:rsidP="00557FF2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</w:p>
    <w:p w14:paraId="6DFC9A3F" w14:textId="77777777" w:rsidR="005A6956" w:rsidRPr="00504542" w:rsidRDefault="005A6956" w:rsidP="00557FF2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</w:p>
    <w:p w14:paraId="0EB6590D" w14:textId="77777777" w:rsidR="005A6956" w:rsidRPr="00504542" w:rsidRDefault="005A6956" w:rsidP="00557FF2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</w:p>
    <w:tbl>
      <w:tblPr>
        <w:tblW w:w="1053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3870"/>
        <w:gridCol w:w="4230"/>
        <w:gridCol w:w="1170"/>
        <w:gridCol w:w="1260"/>
      </w:tblGrid>
      <w:tr w:rsidR="005A6956" w:rsidRPr="00504542" w14:paraId="3EB66734" w14:textId="77777777" w:rsidTr="00504542">
        <w:trPr>
          <w:trHeight w:val="396"/>
        </w:trPr>
        <w:tc>
          <w:tcPr>
            <w:tcW w:w="3870" w:type="dxa"/>
          </w:tcPr>
          <w:p w14:paraId="04830C70" w14:textId="77777777" w:rsidR="005A6956" w:rsidRPr="00504542" w:rsidRDefault="005A6956" w:rsidP="00557FF2">
            <w:pPr>
              <w:jc w:val="both"/>
              <w:rPr>
                <w:b/>
                <w:sz w:val="22"/>
                <w:szCs w:val="22"/>
              </w:rPr>
            </w:pPr>
            <w:r w:rsidRPr="00504542">
              <w:rPr>
                <w:b/>
                <w:sz w:val="22"/>
                <w:szCs w:val="22"/>
              </w:rPr>
              <w:t>Employee’s Signature</w:t>
            </w:r>
          </w:p>
        </w:tc>
        <w:tc>
          <w:tcPr>
            <w:tcW w:w="4230" w:type="dxa"/>
            <w:tcBorders>
              <w:bottom w:val="single" w:sz="6" w:space="0" w:color="auto"/>
            </w:tcBorders>
          </w:tcPr>
          <w:p w14:paraId="3280C775" w14:textId="77777777" w:rsidR="005A6956" w:rsidRPr="00504542" w:rsidRDefault="005A6956" w:rsidP="00557F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117091C6" w14:textId="77777777" w:rsidR="005A6956" w:rsidRPr="00504542" w:rsidRDefault="005A6956" w:rsidP="00557FF2">
            <w:pPr>
              <w:ind w:left="72"/>
              <w:jc w:val="both"/>
              <w:rPr>
                <w:b/>
                <w:sz w:val="22"/>
                <w:szCs w:val="22"/>
              </w:rPr>
            </w:pPr>
            <w:r w:rsidRPr="00504542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26950A3C" w14:textId="77777777" w:rsidR="005A6956" w:rsidRPr="00504542" w:rsidRDefault="005A6956" w:rsidP="00557FF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A6956" w:rsidRPr="00504542" w14:paraId="596A63D0" w14:textId="77777777" w:rsidTr="00504542">
        <w:trPr>
          <w:trHeight w:val="435"/>
        </w:trPr>
        <w:tc>
          <w:tcPr>
            <w:tcW w:w="3870" w:type="dxa"/>
          </w:tcPr>
          <w:p w14:paraId="76A213B3" w14:textId="77777777" w:rsidR="005A6956" w:rsidRPr="00504542" w:rsidRDefault="005A6956" w:rsidP="00557FF2">
            <w:pPr>
              <w:jc w:val="both"/>
              <w:rPr>
                <w:b/>
                <w:sz w:val="22"/>
                <w:szCs w:val="22"/>
              </w:rPr>
            </w:pPr>
            <w:r w:rsidRPr="00504542">
              <w:rPr>
                <w:b/>
                <w:sz w:val="22"/>
                <w:szCs w:val="22"/>
              </w:rPr>
              <w:t>Manager’s Signature</w:t>
            </w:r>
          </w:p>
        </w:tc>
        <w:tc>
          <w:tcPr>
            <w:tcW w:w="4230" w:type="dxa"/>
            <w:tcBorders>
              <w:bottom w:val="single" w:sz="6" w:space="0" w:color="auto"/>
            </w:tcBorders>
          </w:tcPr>
          <w:p w14:paraId="42DAA3C0" w14:textId="77777777" w:rsidR="005A6956" w:rsidRPr="00504542" w:rsidRDefault="005A6956" w:rsidP="00557F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58C8E1FA" w14:textId="77777777" w:rsidR="005A6956" w:rsidRPr="00504542" w:rsidRDefault="005A6956" w:rsidP="00557FF2">
            <w:pPr>
              <w:ind w:left="72"/>
              <w:jc w:val="both"/>
              <w:rPr>
                <w:b/>
                <w:sz w:val="22"/>
                <w:szCs w:val="22"/>
              </w:rPr>
            </w:pPr>
            <w:r w:rsidRPr="00504542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2D921CDF" w14:textId="77777777" w:rsidR="005A6956" w:rsidRPr="00504542" w:rsidRDefault="005A6956" w:rsidP="00557FF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A6956" w:rsidRPr="00504542" w14:paraId="28710D1B" w14:textId="77777777" w:rsidTr="00504542">
        <w:trPr>
          <w:trHeight w:val="525"/>
        </w:trPr>
        <w:tc>
          <w:tcPr>
            <w:tcW w:w="3870" w:type="dxa"/>
          </w:tcPr>
          <w:p w14:paraId="6184035E" w14:textId="77777777" w:rsidR="005A6956" w:rsidRPr="00504542" w:rsidRDefault="005A6956" w:rsidP="00557FF2">
            <w:pPr>
              <w:jc w:val="both"/>
              <w:rPr>
                <w:b/>
                <w:sz w:val="22"/>
                <w:szCs w:val="22"/>
              </w:rPr>
            </w:pPr>
            <w:r w:rsidRPr="00504542">
              <w:rPr>
                <w:b/>
                <w:sz w:val="22"/>
                <w:szCs w:val="22"/>
              </w:rPr>
              <w:t>Human Resources’ Signature</w:t>
            </w:r>
          </w:p>
        </w:tc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</w:tcPr>
          <w:p w14:paraId="20822111" w14:textId="77777777" w:rsidR="005A6956" w:rsidRPr="00504542" w:rsidRDefault="005A6956" w:rsidP="00557F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3B3B3C94" w14:textId="77777777" w:rsidR="005A6956" w:rsidRPr="00504542" w:rsidRDefault="005A6956" w:rsidP="00557FF2">
            <w:pPr>
              <w:ind w:left="72"/>
              <w:jc w:val="both"/>
              <w:rPr>
                <w:b/>
                <w:sz w:val="22"/>
                <w:szCs w:val="22"/>
              </w:rPr>
            </w:pPr>
            <w:r w:rsidRPr="00504542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6A8FC478" w14:textId="77777777" w:rsidR="005A6956" w:rsidRPr="00504542" w:rsidRDefault="005A6956" w:rsidP="00557FF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41092A9" w14:textId="77777777" w:rsidR="005A6956" w:rsidRDefault="005A6956" w:rsidP="005A6956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</w:rPr>
      </w:pPr>
    </w:p>
    <w:p w14:paraId="5AD72CAB" w14:textId="77777777" w:rsidR="00BD2C74" w:rsidRDefault="00BD2C74"/>
    <w:sectPr w:rsidR="00BD2C74" w:rsidSect="00A1364E">
      <w:footerReference w:type="default" r:id="rId8"/>
      <w:pgSz w:w="12240" w:h="15840"/>
      <w:pgMar w:top="720" w:right="1440" w:bottom="900" w:left="108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B028A" w14:textId="77777777" w:rsidR="00B27793" w:rsidRDefault="00B27793" w:rsidP="00E019FE">
      <w:r>
        <w:separator/>
      </w:r>
    </w:p>
  </w:endnote>
  <w:endnote w:type="continuationSeparator" w:id="0">
    <w:p w14:paraId="7470F910" w14:textId="77777777" w:rsidR="00B27793" w:rsidRDefault="00B27793" w:rsidP="00E0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7949" w14:textId="77777777" w:rsidR="000467CA" w:rsidRDefault="005A6956">
    <w:pPr>
      <w:pStyle w:val="Footer"/>
      <w:rPr>
        <w:rFonts w:ascii="MS Sans Serif" w:hAnsi="MS Sans Serif"/>
      </w:rPr>
    </w:pPr>
    <w:r>
      <w:rPr>
        <w:rFonts w:ascii="MS Sans Serif" w:hAnsi="MS Sans Serif"/>
      </w:rPr>
      <w:t xml:space="preserve">Page </w:t>
    </w:r>
    <w:r w:rsidR="00242FB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42FBC">
      <w:rPr>
        <w:rStyle w:val="PageNumber"/>
      </w:rPr>
      <w:fldChar w:fldCharType="separate"/>
    </w:r>
    <w:r w:rsidR="006B6F1C">
      <w:rPr>
        <w:rStyle w:val="PageNumber"/>
        <w:noProof/>
      </w:rPr>
      <w:t>1</w:t>
    </w:r>
    <w:r w:rsidR="00242FB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F3EF3" w14:textId="77777777" w:rsidR="00B27793" w:rsidRDefault="00B27793" w:rsidP="00E019FE">
      <w:r>
        <w:separator/>
      </w:r>
    </w:p>
  </w:footnote>
  <w:footnote w:type="continuationSeparator" w:id="0">
    <w:p w14:paraId="06796D08" w14:textId="77777777" w:rsidR="00B27793" w:rsidRDefault="00B27793" w:rsidP="00E01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736CFB"/>
    <w:multiLevelType w:val="hybridMultilevel"/>
    <w:tmpl w:val="65E47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03D56"/>
    <w:multiLevelType w:val="hybridMultilevel"/>
    <w:tmpl w:val="83A0F012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3" w15:restartNumberingAfterBreak="0">
    <w:nsid w:val="09F53681"/>
    <w:multiLevelType w:val="hybridMultilevel"/>
    <w:tmpl w:val="86CCA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360AF"/>
    <w:multiLevelType w:val="hybridMultilevel"/>
    <w:tmpl w:val="C3ECC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90814"/>
    <w:multiLevelType w:val="singleLevel"/>
    <w:tmpl w:val="223263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7EB94690"/>
    <w:multiLevelType w:val="hybridMultilevel"/>
    <w:tmpl w:val="A3FC91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56"/>
    <w:rsid w:val="000A2C5E"/>
    <w:rsid w:val="000F26EF"/>
    <w:rsid w:val="000F7A17"/>
    <w:rsid w:val="00242FBC"/>
    <w:rsid w:val="0030016F"/>
    <w:rsid w:val="00447BD0"/>
    <w:rsid w:val="004C4393"/>
    <w:rsid w:val="00504542"/>
    <w:rsid w:val="00557FF2"/>
    <w:rsid w:val="00567624"/>
    <w:rsid w:val="005A6956"/>
    <w:rsid w:val="006A4A7C"/>
    <w:rsid w:val="006B6F1C"/>
    <w:rsid w:val="00702BEC"/>
    <w:rsid w:val="007C27EE"/>
    <w:rsid w:val="00823A66"/>
    <w:rsid w:val="0089107C"/>
    <w:rsid w:val="008E5FA6"/>
    <w:rsid w:val="00A20E32"/>
    <w:rsid w:val="00A30BCB"/>
    <w:rsid w:val="00B27793"/>
    <w:rsid w:val="00B635CD"/>
    <w:rsid w:val="00BD2C74"/>
    <w:rsid w:val="00C377DB"/>
    <w:rsid w:val="00CB31C9"/>
    <w:rsid w:val="00DC46E7"/>
    <w:rsid w:val="00E019FE"/>
    <w:rsid w:val="00E15D57"/>
    <w:rsid w:val="00E66AD3"/>
    <w:rsid w:val="00ED610B"/>
    <w:rsid w:val="00F44C11"/>
    <w:rsid w:val="00F67365"/>
    <w:rsid w:val="00FB14E4"/>
    <w:rsid w:val="00FD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3D555"/>
  <w15:docId w15:val="{8A2E9489-2F9E-467A-9AC5-715F3810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A6956"/>
    <w:pPr>
      <w:keepNext/>
      <w:tabs>
        <w:tab w:val="left" w:pos="-720"/>
        <w:tab w:val="left" w:pos="0"/>
        <w:tab w:val="left" w:pos="216"/>
        <w:tab w:val="left" w:pos="432"/>
        <w:tab w:val="left" w:pos="648"/>
        <w:tab w:val="left" w:pos="864"/>
        <w:tab w:val="left" w:pos="1037"/>
        <w:tab w:val="left" w:pos="1296"/>
        <w:tab w:val="left" w:pos="1512"/>
        <w:tab w:val="left" w:pos="1728"/>
        <w:tab w:val="left" w:pos="1944"/>
        <w:tab w:val="left" w:pos="2160"/>
        <w:tab w:val="left" w:pos="2333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</w:tabs>
      <w:suppressAutoHyphens/>
      <w:spacing w:before="90" w:after="54"/>
      <w:outlineLvl w:val="0"/>
    </w:pPr>
    <w:rPr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6956"/>
    <w:rPr>
      <w:rFonts w:ascii="Times New Roman" w:eastAsia="Times New Roman" w:hAnsi="Times New Roman" w:cs="Times New Roman"/>
      <w:b/>
      <w:bCs/>
      <w:spacing w:val="-3"/>
      <w:sz w:val="20"/>
      <w:szCs w:val="20"/>
    </w:rPr>
  </w:style>
  <w:style w:type="paragraph" w:styleId="Header">
    <w:name w:val="header"/>
    <w:basedOn w:val="Normal"/>
    <w:link w:val="HeaderChar"/>
    <w:rsid w:val="005A6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695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5A6956"/>
  </w:style>
  <w:style w:type="paragraph" w:styleId="Footer">
    <w:name w:val="footer"/>
    <w:basedOn w:val="Normal"/>
    <w:link w:val="FooterChar"/>
    <w:rsid w:val="005A6956"/>
    <w:pPr>
      <w:keepLines/>
      <w:tabs>
        <w:tab w:val="center" w:pos="4320"/>
        <w:tab w:val="right" w:pos="8640"/>
      </w:tabs>
      <w:spacing w:after="24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5A6956"/>
    <w:rPr>
      <w:rFonts w:ascii="Times New Roman" w:eastAsia="Times New Roman" w:hAnsi="Times New Roman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56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57FF2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557FF2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7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Lemos</dc:creator>
  <cp:lastModifiedBy>Nancy Benson, SPHR, SHRM-SCP</cp:lastModifiedBy>
  <cp:revision>2</cp:revision>
  <cp:lastPrinted>2011-08-29T18:46:00Z</cp:lastPrinted>
  <dcterms:created xsi:type="dcterms:W3CDTF">2022-06-27T15:57:00Z</dcterms:created>
  <dcterms:modified xsi:type="dcterms:W3CDTF">2022-06-27T15:57:00Z</dcterms:modified>
</cp:coreProperties>
</file>